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淄博市</w:t>
      </w:r>
      <w:r>
        <w:rPr>
          <w:rFonts w:hint="eastAsia" w:ascii="方正小标宋简体" w:eastAsia="方正小标宋简体"/>
          <w:sz w:val="44"/>
          <w:szCs w:val="44"/>
        </w:rPr>
        <w:t>司法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局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淄博市</w:t>
      </w:r>
      <w:r>
        <w:rPr>
          <w:rFonts w:hint="eastAsia" w:ascii="方正小标宋简体" w:eastAsia="方正小标宋简体"/>
          <w:sz w:val="44"/>
          <w:szCs w:val="44"/>
        </w:rPr>
        <w:t>工商业联合会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关于进一步推行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律师行业服务中小微企业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“法律服务代理机制”的通知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区县</w:t>
      </w:r>
      <w:r>
        <w:rPr>
          <w:rFonts w:hint="eastAsia" w:ascii="仿宋_GB2312" w:eastAsia="仿宋_GB2312"/>
          <w:sz w:val="32"/>
          <w:szCs w:val="32"/>
        </w:rPr>
        <w:t>司法局、工商业联合会</w:t>
      </w:r>
      <w:r>
        <w:rPr>
          <w:rFonts w:hint="eastAsia" w:ascii="仿宋_GB2312" w:eastAsia="仿宋_GB2312"/>
          <w:sz w:val="32"/>
          <w:szCs w:val="32"/>
          <w:lang w:eastAsia="zh-CN"/>
        </w:rPr>
        <w:t>、高新区群众工作部、经开区综治信访组、文昌湖区司法工作办公室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为进一步贯彻落实省司法厅、省工商业联合会《关于印发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&lt;</w:t>
      </w:r>
      <w:r>
        <w:rPr>
          <w:rFonts w:hint="eastAsia" w:ascii="仿宋_GB2312" w:eastAsia="仿宋_GB2312"/>
          <w:sz w:val="32"/>
          <w:szCs w:val="32"/>
          <w:lang w:eastAsia="zh-CN"/>
        </w:rPr>
        <w:t>关于建立和推行律师行业服务中小微企业“法律服务代理机制”的指导意见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&gt;</w:t>
      </w:r>
      <w:r>
        <w:rPr>
          <w:rFonts w:hint="eastAsia" w:ascii="仿宋_GB2312" w:eastAsia="仿宋_GB2312"/>
          <w:sz w:val="32"/>
          <w:szCs w:val="32"/>
          <w:lang w:eastAsia="zh-CN"/>
        </w:rPr>
        <w:t>的通知》（鲁司〔2020〕30号），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工商业联合会《关于印发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关于建立和推行律师行业服务中小微企业“法律服务代理机制”的实施意见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淄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司〔</w:t>
      </w: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“法律服务代理机制”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工作取得实效，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将有关事宜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一、提高政治站位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，强化工作标准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建立和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律师行业服务中小微企业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“法律服务代理机制”，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省委、省政府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“重点工作攻坚年”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的重要任务，是2021年省司法厅确定的实施服务高质量发展五个重点项目之一，也是我市优化法治营商环境、服务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中小微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企业发展的重要措施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级司法行政机关</w:t>
      </w:r>
      <w:r>
        <w:rPr>
          <w:rFonts w:hint="eastAsia" w:ascii="仿宋_GB2312" w:eastAsia="仿宋_GB2312"/>
          <w:sz w:val="32"/>
          <w:szCs w:val="32"/>
        </w:rPr>
        <w:t>、工商业联合会</w:t>
      </w:r>
      <w:r>
        <w:rPr>
          <w:rFonts w:hint="eastAsia" w:ascii="仿宋_GB2312" w:hAnsi="仿宋" w:eastAsia="仿宋_GB2312"/>
          <w:sz w:val="32"/>
          <w:szCs w:val="32"/>
        </w:rPr>
        <w:t>一定要切实提高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政治</w:t>
      </w:r>
      <w:r>
        <w:rPr>
          <w:rFonts w:hint="eastAsia" w:ascii="仿宋_GB2312" w:hAnsi="仿宋" w:eastAsia="仿宋_GB2312"/>
          <w:sz w:val="32"/>
          <w:szCs w:val="32"/>
        </w:rPr>
        <w:t>站位，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强化</w:t>
      </w:r>
      <w:r>
        <w:rPr>
          <w:rFonts w:hint="eastAsia" w:ascii="仿宋_GB2312" w:hAnsi="仿宋" w:eastAsia="仿宋_GB2312"/>
          <w:sz w:val="32"/>
          <w:szCs w:val="32"/>
        </w:rPr>
        <w:t>大局意识，加强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" w:eastAsia="仿宋_GB2312"/>
          <w:sz w:val="32"/>
          <w:szCs w:val="32"/>
        </w:rPr>
        <w:t>领导，坚持问题导向，强化责任担当，完善相关措施，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在新的起点，以更高标准</w:t>
      </w:r>
      <w:r>
        <w:rPr>
          <w:rFonts w:hint="eastAsia" w:ascii="仿宋_GB2312" w:hAnsi="仿宋" w:eastAsia="仿宋_GB2312"/>
          <w:sz w:val="32"/>
          <w:szCs w:val="32"/>
        </w:rPr>
        <w:t>对“法律服务代理机制”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进行再谋划、再部署、再落实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强化政策宣传，</w:t>
      </w:r>
      <w:r>
        <w:rPr>
          <w:rFonts w:hint="eastAsia" w:ascii="黑体" w:hAnsi="黑体" w:eastAsia="黑体"/>
          <w:kern w:val="0"/>
          <w:sz w:val="32"/>
          <w:szCs w:val="32"/>
        </w:rPr>
        <w:t>搭建服务平台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加大宣传工作力度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。司法行政机关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通过普法宣传、律师志愿法律服务等工作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进行“法律服务代理机制”政策宣传。要积极搭建企业与律师的服务交流平台，注重回应企业协会、商会的法律需求，推荐、选派优秀律师为企业负责人、经营者开展企业法律风险防控、合规经营等内容的法治讲座，宣传“法律服务代理机制”等政府优化营商环境的政策，不断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提高</w:t>
      </w:r>
      <w:r>
        <w:rPr>
          <w:rFonts w:hint="eastAsia" w:ascii="仿宋_GB2312" w:hAnsi="仿宋" w:eastAsia="仿宋_GB2312"/>
          <w:kern w:val="0"/>
          <w:sz w:val="32"/>
          <w:szCs w:val="32"/>
        </w:rPr>
        <w:t>企业知晓度和参与度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联合会要参与政策宣传，提供中小微企业等市场主体名录，推动中小微企业与律师事务所对接。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坚持问题导向，提升工作质效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各级司法行政机关要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实际，牵头协调实施，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经常性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本区县</w:t>
      </w:r>
      <w:r>
        <w:rPr>
          <w:rFonts w:hint="eastAsia" w:ascii="仿宋_GB2312" w:hAnsi="仿宋" w:eastAsia="仿宋_GB2312"/>
          <w:sz w:val="32"/>
          <w:szCs w:val="32"/>
        </w:rPr>
        <w:t>“法律服务代理机制”推行情况进行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自查，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进行督导问效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重点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解决</w:t>
      </w:r>
      <w:r>
        <w:rPr>
          <w:rFonts w:hint="eastAsia" w:ascii="仿宋_GB2312" w:hAnsi="仿宋" w:eastAsia="仿宋_GB2312"/>
          <w:sz w:val="32"/>
          <w:szCs w:val="32"/>
        </w:rPr>
        <w:t>宣传不到位、覆盖面不广等问题。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要积极搭建服务企业的</w:t>
      </w:r>
      <w:r>
        <w:rPr>
          <w:rFonts w:hint="eastAsia" w:ascii="仿宋_GB2312" w:hAnsi="仿宋" w:eastAsia="仿宋_GB2312"/>
          <w:sz w:val="32"/>
          <w:szCs w:val="32"/>
        </w:rPr>
        <w:t>公共法律服务实体、热线、网络三大平台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。要在各区县公共法律服务中心增设企业合规管理服务窗口，在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12348法律服务热线增加企业法律服务项目，</w:t>
      </w:r>
      <w:r>
        <w:rPr>
          <w:rFonts w:hint="eastAsia" w:ascii="仿宋_GB2312" w:hAnsi="仿宋" w:eastAsia="仿宋_GB2312"/>
          <w:sz w:val="32"/>
          <w:szCs w:val="32"/>
        </w:rPr>
        <w:t>选派熟悉企业常见法律问题的律师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值班，</w:t>
      </w:r>
      <w:r>
        <w:rPr>
          <w:rFonts w:hint="eastAsia" w:ascii="仿宋_GB2312" w:hAnsi="仿宋" w:eastAsia="仿宋_GB2312"/>
          <w:sz w:val="32"/>
          <w:szCs w:val="32"/>
        </w:rPr>
        <w:t>及时为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中小微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企业提供法律服务</w:t>
      </w:r>
      <w:r>
        <w:rPr>
          <w:rFonts w:hint="eastAsia" w:ascii="仿宋_GB2312" w:hAnsi="仿宋" w:eastAsia="仿宋_GB2312"/>
          <w:sz w:val="32"/>
          <w:szCs w:val="32"/>
        </w:rPr>
        <w:t>。目前，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省司法厅正在筹建</w:t>
      </w:r>
      <w:r>
        <w:rPr>
          <w:rFonts w:hint="eastAsia" w:ascii="仿宋_GB2312" w:hAnsi="仿宋" w:eastAsia="仿宋_GB2312"/>
          <w:kern w:val="0"/>
          <w:sz w:val="32"/>
          <w:szCs w:val="32"/>
        </w:rPr>
        <w:t>法律服务代理信息化平台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，通过平台</w:t>
      </w:r>
      <w:r>
        <w:rPr>
          <w:rFonts w:hint="eastAsia" w:ascii="仿宋_GB2312" w:hAnsi="仿宋" w:eastAsia="仿宋_GB2312"/>
          <w:kern w:val="0"/>
          <w:sz w:val="32"/>
          <w:szCs w:val="32"/>
        </w:rPr>
        <w:t>发布企业法律服务需求和律师信息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kern w:val="0"/>
          <w:sz w:val="32"/>
          <w:szCs w:val="32"/>
        </w:rPr>
        <w:t>平台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建成后</w:t>
      </w:r>
      <w:r>
        <w:rPr>
          <w:rFonts w:hint="eastAsia"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要按照上级工作要求，积极对接，及时</w:t>
      </w:r>
      <w:r>
        <w:rPr>
          <w:rFonts w:hint="eastAsia" w:ascii="仿宋_GB2312" w:hAnsi="仿宋" w:eastAsia="仿宋_GB2312"/>
          <w:kern w:val="0"/>
          <w:sz w:val="32"/>
          <w:szCs w:val="32"/>
        </w:rPr>
        <w:t>将律师事务所与中小微企业信息纳入平台之中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促进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实现</w:t>
      </w:r>
      <w:r>
        <w:rPr>
          <w:rFonts w:hint="eastAsia" w:ascii="仿宋_GB2312" w:hAnsi="仿宋" w:eastAsia="仿宋_GB2312"/>
          <w:kern w:val="0"/>
          <w:sz w:val="32"/>
          <w:szCs w:val="32"/>
        </w:rPr>
        <w:t>律师与企业间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法律服务</w:t>
      </w:r>
      <w:r>
        <w:rPr>
          <w:rFonts w:hint="eastAsia" w:ascii="仿宋_GB2312" w:hAnsi="仿宋" w:eastAsia="仿宋_GB2312"/>
          <w:kern w:val="0"/>
          <w:sz w:val="32"/>
          <w:szCs w:val="32"/>
        </w:rPr>
        <w:t>供需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kern w:val="0"/>
          <w:sz w:val="32"/>
          <w:szCs w:val="32"/>
        </w:rPr>
        <w:t>线上有效对接。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四、建立长效机制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，推动工作深入持久开展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要认真总结梳理“法律服务代理机制”推行中出现的带有共性的突出问题，有针对性的建立健全各项制度，切实补齐短板，持之以恒，久久为功，形成长效机制。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要主动向党政领导汇报，积极探索将</w:t>
      </w:r>
      <w:r>
        <w:rPr>
          <w:rFonts w:hint="eastAsia" w:ascii="仿宋_GB2312" w:hAnsi="仿宋" w:eastAsia="仿宋_GB2312"/>
          <w:sz w:val="32"/>
          <w:szCs w:val="32"/>
        </w:rPr>
        <w:t>法律服务代理纳入政府购买服务范围，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" w:eastAsia="仿宋_GB2312"/>
          <w:sz w:val="32"/>
          <w:szCs w:val="32"/>
        </w:rPr>
        <w:t>推动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“法律服务代理机制”</w:t>
      </w:r>
      <w:r>
        <w:rPr>
          <w:rFonts w:hint="eastAsia" w:ascii="仿宋_GB2312" w:hAnsi="仿宋" w:eastAsia="仿宋_GB2312"/>
          <w:sz w:val="32"/>
          <w:szCs w:val="32"/>
        </w:rPr>
        <w:t>落地落实，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努力</w:t>
      </w:r>
      <w:r>
        <w:rPr>
          <w:rFonts w:hint="eastAsia" w:ascii="仿宋_GB2312" w:hAnsi="仿宋" w:eastAsia="仿宋_GB2312"/>
          <w:sz w:val="32"/>
          <w:szCs w:val="32"/>
        </w:rPr>
        <w:t>为企业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高质量发展</w:t>
      </w:r>
      <w:r>
        <w:rPr>
          <w:rFonts w:hint="eastAsia" w:ascii="仿宋_GB2312" w:hAnsi="仿宋" w:eastAsia="仿宋_GB2312"/>
          <w:sz w:val="32"/>
          <w:szCs w:val="32"/>
        </w:rPr>
        <w:t>提供优质高效的法律服务。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推行工作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的经验做法、存在的问题和有关意见建议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，请及时报告市司法局律师工作科和市工商业联合会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淄博市民营经济服务中心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市司法局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律师工作科 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李亚军  6218022</w:t>
      </w:r>
      <w:r>
        <w:rPr>
          <w:rFonts w:hint="default" w:ascii="仿宋_GB2312" w:hAnsi="仿宋" w:eastAsia="仿宋_GB2312"/>
          <w:color w:val="auto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" w:eastAsia="仿宋_GB2312"/>
          <w:color w:val="auto"/>
          <w:sz w:val="32"/>
          <w:szCs w:val="32"/>
          <w:lang w:val="en" w:eastAsia="zh-CN"/>
        </w:rPr>
        <w:t>zblshk@163.com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市工商业联合会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淄博市民营经济服务中心  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邓长虹  7865587    zbmyjjfwzx@zb.shandong.cn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淄博市司法局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淄博市</w:t>
      </w:r>
      <w:r>
        <w:rPr>
          <w:rFonts w:hint="eastAsia" w:ascii="仿宋_GB2312" w:hAnsi="仿宋" w:eastAsia="仿宋_GB2312"/>
          <w:sz w:val="32"/>
          <w:szCs w:val="32"/>
        </w:rPr>
        <w:t>工商业联合会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CESI黑体-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CESI楷体-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CESI仿宋-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CESI仿宋-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left:200.6pt;margin-top:-1pt;height:144pt;width:144p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221B"/>
    <w:rsid w:val="00004F48"/>
    <w:rsid w:val="00045720"/>
    <w:rsid w:val="00047034"/>
    <w:rsid w:val="000803FD"/>
    <w:rsid w:val="000832D2"/>
    <w:rsid w:val="000F52C8"/>
    <w:rsid w:val="0013291F"/>
    <w:rsid w:val="00133950"/>
    <w:rsid w:val="00150CDB"/>
    <w:rsid w:val="00162727"/>
    <w:rsid w:val="001F1101"/>
    <w:rsid w:val="0022221B"/>
    <w:rsid w:val="0025046A"/>
    <w:rsid w:val="002A3B89"/>
    <w:rsid w:val="002A5DA4"/>
    <w:rsid w:val="002B55CD"/>
    <w:rsid w:val="00310B03"/>
    <w:rsid w:val="00360549"/>
    <w:rsid w:val="00384AEA"/>
    <w:rsid w:val="0038520A"/>
    <w:rsid w:val="0038563A"/>
    <w:rsid w:val="004000F8"/>
    <w:rsid w:val="004B6E23"/>
    <w:rsid w:val="004C2F55"/>
    <w:rsid w:val="004C5954"/>
    <w:rsid w:val="005076FD"/>
    <w:rsid w:val="00523A9A"/>
    <w:rsid w:val="00546DEA"/>
    <w:rsid w:val="00553734"/>
    <w:rsid w:val="00560AB1"/>
    <w:rsid w:val="005C617A"/>
    <w:rsid w:val="005D0A29"/>
    <w:rsid w:val="00622D28"/>
    <w:rsid w:val="006258F2"/>
    <w:rsid w:val="00625A45"/>
    <w:rsid w:val="00625EDD"/>
    <w:rsid w:val="00657A40"/>
    <w:rsid w:val="0066632F"/>
    <w:rsid w:val="006A40F3"/>
    <w:rsid w:val="006C447A"/>
    <w:rsid w:val="007318D6"/>
    <w:rsid w:val="0073712F"/>
    <w:rsid w:val="00741FF9"/>
    <w:rsid w:val="00747C68"/>
    <w:rsid w:val="0076090B"/>
    <w:rsid w:val="00791727"/>
    <w:rsid w:val="007B3E51"/>
    <w:rsid w:val="007C6538"/>
    <w:rsid w:val="007F0D68"/>
    <w:rsid w:val="008369AC"/>
    <w:rsid w:val="00842DC7"/>
    <w:rsid w:val="008452FC"/>
    <w:rsid w:val="008621B2"/>
    <w:rsid w:val="00870AC7"/>
    <w:rsid w:val="00894CCF"/>
    <w:rsid w:val="008F2395"/>
    <w:rsid w:val="0092171C"/>
    <w:rsid w:val="00946523"/>
    <w:rsid w:val="00992047"/>
    <w:rsid w:val="009F4743"/>
    <w:rsid w:val="00A05FB1"/>
    <w:rsid w:val="00A30C44"/>
    <w:rsid w:val="00A44F44"/>
    <w:rsid w:val="00A514C5"/>
    <w:rsid w:val="00A550DC"/>
    <w:rsid w:val="00A862A3"/>
    <w:rsid w:val="00A95642"/>
    <w:rsid w:val="00AD2A78"/>
    <w:rsid w:val="00AE2131"/>
    <w:rsid w:val="00BB02D1"/>
    <w:rsid w:val="00BF3778"/>
    <w:rsid w:val="00C02B42"/>
    <w:rsid w:val="00C439E6"/>
    <w:rsid w:val="00C44079"/>
    <w:rsid w:val="00C44931"/>
    <w:rsid w:val="00C564A3"/>
    <w:rsid w:val="00C62648"/>
    <w:rsid w:val="00D252A5"/>
    <w:rsid w:val="00D52CCA"/>
    <w:rsid w:val="00DA4651"/>
    <w:rsid w:val="00DB47A1"/>
    <w:rsid w:val="00DC22BB"/>
    <w:rsid w:val="00DC7917"/>
    <w:rsid w:val="00DE2AB9"/>
    <w:rsid w:val="00E61899"/>
    <w:rsid w:val="00E73792"/>
    <w:rsid w:val="00E866EC"/>
    <w:rsid w:val="00EA2279"/>
    <w:rsid w:val="00EE0A72"/>
    <w:rsid w:val="00F126AD"/>
    <w:rsid w:val="00F33B0F"/>
    <w:rsid w:val="00F41D5A"/>
    <w:rsid w:val="00F71399"/>
    <w:rsid w:val="00FB32D9"/>
    <w:rsid w:val="00FE211A"/>
    <w:rsid w:val="07F24BBF"/>
    <w:rsid w:val="088B5DCB"/>
    <w:rsid w:val="0CEF187D"/>
    <w:rsid w:val="13E25973"/>
    <w:rsid w:val="19CDE7D1"/>
    <w:rsid w:val="1F3F31EA"/>
    <w:rsid w:val="25DE1FA3"/>
    <w:rsid w:val="37FF9F2A"/>
    <w:rsid w:val="3C0129C0"/>
    <w:rsid w:val="42E24DAE"/>
    <w:rsid w:val="4FD70C19"/>
    <w:rsid w:val="571507CD"/>
    <w:rsid w:val="5B5B57B4"/>
    <w:rsid w:val="5FB9372F"/>
    <w:rsid w:val="618D159A"/>
    <w:rsid w:val="67F6D6BD"/>
    <w:rsid w:val="6BF912C1"/>
    <w:rsid w:val="6CDF77E1"/>
    <w:rsid w:val="7777058C"/>
    <w:rsid w:val="77EC9478"/>
    <w:rsid w:val="7A7B4804"/>
    <w:rsid w:val="7AD3794E"/>
    <w:rsid w:val="7EAFBB43"/>
    <w:rsid w:val="7F1FBA31"/>
    <w:rsid w:val="7FDFBDB6"/>
    <w:rsid w:val="877B77CD"/>
    <w:rsid w:val="9FF14861"/>
    <w:rsid w:val="B2F7C6AC"/>
    <w:rsid w:val="BFB9B732"/>
    <w:rsid w:val="BFDF966A"/>
    <w:rsid w:val="DBABF044"/>
    <w:rsid w:val="DCAF5DA3"/>
    <w:rsid w:val="EAD5A085"/>
    <w:rsid w:val="EF1FE17C"/>
    <w:rsid w:val="F1F70FCF"/>
    <w:rsid w:val="F5FF7850"/>
    <w:rsid w:val="F6DFB100"/>
    <w:rsid w:val="FF6E67D5"/>
    <w:rsid w:val="FF933B3E"/>
    <w:rsid w:val="FFD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193</Words>
  <Characters>1102</Characters>
  <Lines>9</Lines>
  <Paragraphs>2</Paragraphs>
  <TotalTime>1</TotalTime>
  <ScaleCrop>false</ScaleCrop>
  <LinksUpToDate>false</LinksUpToDate>
  <CharactersWithSpaces>1293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2020-12-26T13:05:00Z</dcterms:created>
  <dc:creator> }</dc:creator>
  <cp:lastModifiedBy>lyj</cp:lastModifiedBy>
  <cp:lastPrinted>2020-12-27T06:50:00Z</cp:lastPrinted>
  <dcterms:modified xsi:type="dcterms:W3CDTF">2021-03-18T10:17:24Z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